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4E9B" w14:textId="231224DC" w:rsidR="002D4CA8" w:rsidRPr="002D4CA8" w:rsidRDefault="002D4CA8" w:rsidP="00E113AE">
      <w:pPr>
        <w:spacing w:after="0" w:line="320" w:lineRule="exact"/>
        <w:rPr>
          <w:rFonts w:ascii="Arial" w:eastAsia="Times New Roman" w:hAnsi="Arial" w:cs="Arial"/>
          <w:sz w:val="24"/>
          <w:szCs w:val="24"/>
          <w:lang w:eastAsia="zh-CN"/>
        </w:rPr>
      </w:pPr>
    </w:p>
    <w:p w14:paraId="1133C774" w14:textId="7ABACA3D" w:rsidR="00F129C1" w:rsidRPr="00E113AE" w:rsidRDefault="00F129C1" w:rsidP="00E113AE">
      <w:pPr>
        <w:spacing w:after="0" w:line="320" w:lineRule="exact"/>
        <w:jc w:val="center"/>
        <w:rPr>
          <w:rFonts w:ascii="Arial" w:hAnsi="Arial" w:cs="Arial"/>
          <w:b/>
          <w:bCs/>
          <w:sz w:val="24"/>
          <w:szCs w:val="24"/>
          <w:lang w:val="en-US"/>
        </w:rPr>
      </w:pPr>
      <w:r w:rsidRPr="00E113AE">
        <w:rPr>
          <w:rFonts w:ascii="Arial" w:hAnsi="Arial" w:cs="Arial"/>
          <w:b/>
          <w:bCs/>
          <w:sz w:val="24"/>
          <w:szCs w:val="24"/>
          <w:lang w:val="en-US"/>
        </w:rPr>
        <w:t>General Terms and Conditions for Engineering Services</w:t>
      </w:r>
      <w:r w:rsidRPr="00E113AE">
        <w:rPr>
          <w:rFonts w:ascii="Arial" w:hAnsi="Arial" w:cs="Arial"/>
          <w:b/>
          <w:bCs/>
          <w:sz w:val="24"/>
          <w:szCs w:val="24"/>
          <w:lang w:val="en-US"/>
        </w:rPr>
        <w:br/>
        <w:t xml:space="preserve">of </w:t>
      </w:r>
      <w:r w:rsidRPr="00E113AE">
        <w:rPr>
          <w:rFonts w:ascii="Arial" w:hAnsi="Arial" w:cs="Arial"/>
          <w:b/>
          <w:bCs/>
          <w:sz w:val="24"/>
          <w:szCs w:val="24"/>
          <w:lang w:val="en-US"/>
        </w:rPr>
        <w:t>Gustav Seeland</w:t>
      </w:r>
      <w:r w:rsidRPr="00E113AE">
        <w:rPr>
          <w:rFonts w:ascii="Arial" w:hAnsi="Arial" w:cs="Arial"/>
          <w:b/>
          <w:bCs/>
          <w:sz w:val="24"/>
          <w:szCs w:val="24"/>
          <w:lang w:val="en-US"/>
        </w:rPr>
        <w:t xml:space="preserve"> GmbH (hereinafter “</w:t>
      </w:r>
      <w:r w:rsidRPr="00E113AE">
        <w:rPr>
          <w:rFonts w:ascii="Arial" w:hAnsi="Arial" w:cs="Arial"/>
          <w:b/>
          <w:bCs/>
          <w:sz w:val="24"/>
          <w:szCs w:val="24"/>
          <w:lang w:val="en-US"/>
        </w:rPr>
        <w:t>Seeland</w:t>
      </w:r>
      <w:r w:rsidRPr="00E113AE">
        <w:rPr>
          <w:rFonts w:ascii="Arial" w:hAnsi="Arial" w:cs="Arial"/>
          <w:b/>
          <w:bCs/>
          <w:sz w:val="24"/>
          <w:szCs w:val="24"/>
          <w:lang w:val="en-US"/>
        </w:rPr>
        <w:t>”)</w:t>
      </w:r>
    </w:p>
    <w:p w14:paraId="712DED97" w14:textId="77777777" w:rsidR="0020262E" w:rsidRPr="0020262E" w:rsidRDefault="0020262E" w:rsidP="00E113AE">
      <w:pPr>
        <w:spacing w:after="0" w:line="320" w:lineRule="exact"/>
        <w:jc w:val="center"/>
        <w:rPr>
          <w:rFonts w:ascii="Arial" w:eastAsia="Times New Roman" w:hAnsi="Arial" w:cs="Arial"/>
          <w:b/>
          <w:bCs/>
          <w:sz w:val="32"/>
          <w:szCs w:val="32"/>
          <w:lang w:val="en-US" w:eastAsia="zh-CN"/>
        </w:rPr>
      </w:pPr>
    </w:p>
    <w:p w14:paraId="4584784F" w14:textId="33C682A6"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Scope of Application, General Provisions</w:t>
      </w:r>
    </w:p>
    <w:p w14:paraId="06084D0A" w14:textId="237277BF"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These General Terms and Conditions for Engineering </w:t>
      </w:r>
      <w:r w:rsidR="00F129C1" w:rsidRPr="00E113AE">
        <w:rPr>
          <w:rFonts w:ascii="Arial" w:eastAsia="Times New Roman" w:hAnsi="Arial" w:cs="Arial"/>
          <w:sz w:val="19"/>
          <w:szCs w:val="19"/>
          <w:lang w:val="en-US" w:eastAsia="zh-CN"/>
        </w:rPr>
        <w:t xml:space="preserve">Services </w:t>
      </w:r>
      <w:r w:rsidRPr="00E113AE">
        <w:rPr>
          <w:rFonts w:ascii="Arial" w:eastAsia="Times New Roman" w:hAnsi="Arial" w:cs="Arial"/>
          <w:sz w:val="19"/>
          <w:szCs w:val="19"/>
          <w:lang w:val="en-US" w:eastAsia="zh-CN"/>
        </w:rPr>
        <w:t xml:space="preserve">(hereinafter “GTC Engineering”) form an integral part of all contracts </w:t>
      </w:r>
      <w:proofErr w:type="gramStart"/>
      <w:r w:rsidRPr="00E113AE">
        <w:rPr>
          <w:rFonts w:ascii="Arial" w:eastAsia="Times New Roman" w:hAnsi="Arial" w:cs="Arial"/>
          <w:sz w:val="19"/>
          <w:szCs w:val="19"/>
          <w:lang w:val="en-US" w:eastAsia="zh-CN"/>
        </w:rPr>
        <w:t>entered into</w:t>
      </w:r>
      <w:proofErr w:type="gramEnd"/>
      <w:r w:rsidRPr="00E113AE">
        <w:rPr>
          <w:rFonts w:ascii="Arial" w:eastAsia="Times New Roman" w:hAnsi="Arial" w:cs="Arial"/>
          <w:sz w:val="19"/>
          <w:szCs w:val="19"/>
          <w:lang w:val="en-US" w:eastAsia="zh-CN"/>
        </w:rPr>
        <w:t xml:space="preserve">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with the contracting partner for the provision of engineering services. They shall also apply to all future contracts with the same contracting partner, without the need for their applicability to be expressly agreed again in each individual case.</w:t>
      </w:r>
    </w:p>
    <w:p w14:paraId="0780200D" w14:textId="18E0BA6D"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These GTC Engineering shall apply exclusively. Deviating, conflicting or supplementary terms and conditions of the contracting partner shall only become part of the contract if and to the extent that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has expressly agreed to their applicability in writing. This requirement of consent shall also apply if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performs services without reservation in knowledge of the contracting partner’s terms and conditions.</w:t>
      </w:r>
    </w:p>
    <w:p w14:paraId="595A34AA" w14:textId="593E1279"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All offers made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are subject to change and non-binding until a written order confirmation has been issued. A binding order for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only come into existence upon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written order confirmation.</w:t>
      </w:r>
    </w:p>
    <w:p w14:paraId="36398781" w14:textId="30EBD925"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Declarations and notifications of legal relevance to be made by the contracting partner after conclusion of the contract (e.g. setting of deadlines, notices of defects, declarations of withdrawal or reduction of remuneration) shall require text form (e.g. email, telefax) to be effective.</w:t>
      </w:r>
    </w:p>
    <w:p w14:paraId="7D80B15F" w14:textId="77777777" w:rsidR="00E113AE" w:rsidRPr="00E113AE" w:rsidRDefault="00E113AE" w:rsidP="00E113AE">
      <w:pPr>
        <w:pStyle w:val="Listenabsatz"/>
        <w:spacing w:after="0" w:line="320" w:lineRule="exact"/>
        <w:ind w:left="760"/>
        <w:rPr>
          <w:rFonts w:ascii="Arial" w:eastAsia="Times New Roman" w:hAnsi="Arial" w:cs="Arial"/>
          <w:sz w:val="19"/>
          <w:szCs w:val="19"/>
          <w:lang w:val="en-US" w:eastAsia="zh-CN"/>
        </w:rPr>
      </w:pPr>
    </w:p>
    <w:p w14:paraId="58102339" w14:textId="3D9432E0"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Prices, Payment Terms</w:t>
      </w:r>
    </w:p>
    <w:p w14:paraId="7E2426DB" w14:textId="30875567"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Unless otherwise agreed in individual cases, the prices </w:t>
      </w:r>
      <w:r w:rsidR="00E12F90" w:rsidRPr="00E113AE">
        <w:rPr>
          <w:rFonts w:ascii="Arial" w:eastAsia="Times New Roman" w:hAnsi="Arial" w:cs="Arial"/>
          <w:sz w:val="19"/>
          <w:szCs w:val="19"/>
          <w:lang w:val="en-US" w:eastAsia="zh-CN"/>
        </w:rPr>
        <w:t xml:space="preserve">of Seeland </w:t>
      </w:r>
      <w:r w:rsidRPr="00E113AE">
        <w:rPr>
          <w:rFonts w:ascii="Arial" w:eastAsia="Times New Roman" w:hAnsi="Arial" w:cs="Arial"/>
          <w:sz w:val="19"/>
          <w:szCs w:val="19"/>
          <w:lang w:val="en-US" w:eastAsia="zh-CN"/>
        </w:rPr>
        <w:t>valid at the time of conclusion of the contract shall apply.</w:t>
      </w:r>
    </w:p>
    <w:p w14:paraId="4BF3A801" w14:textId="09EE47D7"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All prices are exclusive of the applicable statutory value-added tax (VAT).</w:t>
      </w:r>
    </w:p>
    <w:p w14:paraId="5D80FF5C" w14:textId="23D3A499"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Unless otherwise agreed,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’s services shall be invoiced </w:t>
      </w:r>
      <w:proofErr w:type="gramStart"/>
      <w:r w:rsidRPr="00E113AE">
        <w:rPr>
          <w:rFonts w:ascii="Arial" w:eastAsia="Times New Roman" w:hAnsi="Arial" w:cs="Arial"/>
          <w:sz w:val="19"/>
          <w:szCs w:val="19"/>
          <w:lang w:val="en-US" w:eastAsia="zh-CN"/>
        </w:rPr>
        <w:t>on the basis of</w:t>
      </w:r>
      <w:proofErr w:type="gramEnd"/>
      <w:r w:rsidRPr="00E113AE">
        <w:rPr>
          <w:rFonts w:ascii="Arial" w:eastAsia="Times New Roman" w:hAnsi="Arial" w:cs="Arial"/>
          <w:sz w:val="19"/>
          <w:szCs w:val="19"/>
          <w:lang w:val="en-US" w:eastAsia="zh-CN"/>
        </w:rPr>
        <w:t xml:space="preserve"> lump-sum prices.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however, be entitled to issue partial invoices corresponding to the progress of performance.</w:t>
      </w:r>
    </w:p>
    <w:p w14:paraId="38D153D3" w14:textId="15283E19"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Unless otherwise agreed, invoice amounts shall be paid in full without deductions within ten days of the invoice date. If the contracting partner fails to pay an invoice within a payment deadline specified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the contracting partner shall be in default without the need for a reminder.</w:t>
      </w:r>
    </w:p>
    <w:p w14:paraId="25CA0CB1" w14:textId="1B67B826"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The contracting partner shall only be entitled to rights of set-off or retention insofar as the corresponding claims have been finally adjudicated or are undisputed.</w:t>
      </w:r>
    </w:p>
    <w:p w14:paraId="0EF6F7B2" w14:textId="77777777" w:rsidR="00E113AE" w:rsidRPr="00E113AE" w:rsidRDefault="00E113AE" w:rsidP="00E113AE">
      <w:pPr>
        <w:pStyle w:val="Listenabsatz"/>
        <w:spacing w:after="0" w:line="320" w:lineRule="exact"/>
        <w:ind w:left="760"/>
        <w:rPr>
          <w:rFonts w:ascii="Arial" w:eastAsia="Times New Roman" w:hAnsi="Arial" w:cs="Arial"/>
          <w:sz w:val="19"/>
          <w:szCs w:val="19"/>
          <w:lang w:val="en-US" w:eastAsia="zh-CN"/>
        </w:rPr>
      </w:pPr>
    </w:p>
    <w:p w14:paraId="5355A79C" w14:textId="17A9F6A2"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 xml:space="preserve">Services Provided by </w:t>
      </w:r>
      <w:r w:rsidRPr="00E113AE">
        <w:rPr>
          <w:rFonts w:ascii="Arial" w:eastAsia="Times New Roman" w:hAnsi="Arial" w:cs="Arial"/>
          <w:b/>
          <w:bCs/>
          <w:sz w:val="19"/>
          <w:szCs w:val="19"/>
          <w:lang w:val="en-US" w:eastAsia="zh-CN"/>
        </w:rPr>
        <w:t>Seeland</w:t>
      </w:r>
    </w:p>
    <w:p w14:paraId="180BE630" w14:textId="12B6579A"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perform its services with customary professional care, in accordance with the generally recognized rules of technology, and </w:t>
      </w:r>
      <w:proofErr w:type="gramStart"/>
      <w:r w:rsidRPr="00E113AE">
        <w:rPr>
          <w:rFonts w:ascii="Arial" w:eastAsia="Times New Roman" w:hAnsi="Arial" w:cs="Arial"/>
          <w:sz w:val="19"/>
          <w:szCs w:val="19"/>
          <w:lang w:val="en-US" w:eastAsia="zh-CN"/>
        </w:rPr>
        <w:t>taking into account</w:t>
      </w:r>
      <w:proofErr w:type="gramEnd"/>
      <w:r w:rsidRPr="00E113AE">
        <w:rPr>
          <w:rFonts w:ascii="Arial" w:eastAsia="Times New Roman" w:hAnsi="Arial" w:cs="Arial"/>
          <w:sz w:val="19"/>
          <w:szCs w:val="19"/>
          <w:lang w:val="en-US" w:eastAsia="zh-CN"/>
        </w:rPr>
        <w:t xml:space="preserve"> location- and application-specific influences and conditions.</w:t>
      </w:r>
    </w:p>
    <w:p w14:paraId="1B8A831A" w14:textId="3BF7C2DF"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be entitled to engage qualified third-party service providers, in whole or in part, for the performance of its services.</w:t>
      </w:r>
    </w:p>
    <w:p w14:paraId="2BD430BF" w14:textId="53647ABF"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comply with reasonable requests for changes made by the contracting partner within the scope of available operational capacities and subject to an appropriate adjustment of scheduling and remuneration.</w:t>
      </w:r>
    </w:p>
    <w:p w14:paraId="00E9F5F9" w14:textId="05D35C1D" w:rsidR="002D4CA8"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lastRenderedPageBreak/>
        <w:t xml:space="preserve">To the extent that individual elements of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services require official or other approvals, the examination of approvability shall not form part of the scope of services.</w:t>
      </w:r>
    </w:p>
    <w:p w14:paraId="366F1BFD" w14:textId="77777777" w:rsidR="00E113AE" w:rsidRPr="00E113AE" w:rsidRDefault="00E113AE" w:rsidP="00E113AE">
      <w:pPr>
        <w:pStyle w:val="Listenabsatz"/>
        <w:spacing w:after="0" w:line="320" w:lineRule="exact"/>
        <w:ind w:left="760"/>
        <w:rPr>
          <w:rFonts w:ascii="Arial" w:eastAsia="Times New Roman" w:hAnsi="Arial" w:cs="Arial"/>
          <w:sz w:val="19"/>
          <w:szCs w:val="19"/>
          <w:lang w:val="en-US" w:eastAsia="zh-CN"/>
        </w:rPr>
      </w:pPr>
    </w:p>
    <w:p w14:paraId="2A8DFD71" w14:textId="6BFE7DE0"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Obligations of the Contracting Partner</w:t>
      </w:r>
    </w:p>
    <w:p w14:paraId="2440A36F" w14:textId="20593C3B"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 contracting partner shall provide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in a timely, complete and accurate manner, with all documents and information required for the performance of the services, </w:t>
      </w:r>
      <w:proofErr w:type="gramStart"/>
      <w:r w:rsidRPr="00E113AE">
        <w:rPr>
          <w:rFonts w:ascii="Arial" w:eastAsia="Times New Roman" w:hAnsi="Arial" w:cs="Arial"/>
          <w:sz w:val="19"/>
          <w:szCs w:val="19"/>
          <w:lang w:val="en-US" w:eastAsia="zh-CN"/>
        </w:rPr>
        <w:t>in particular precise</w:t>
      </w:r>
      <w:proofErr w:type="gramEnd"/>
      <w:r w:rsidRPr="00E113AE">
        <w:rPr>
          <w:rFonts w:ascii="Arial" w:eastAsia="Times New Roman" w:hAnsi="Arial" w:cs="Arial"/>
          <w:sz w:val="19"/>
          <w:szCs w:val="19"/>
          <w:lang w:val="en-US" w:eastAsia="zh-CN"/>
        </w:rPr>
        <w:t xml:space="preserve"> technical, operational</w:t>
      </w:r>
      <w:r w:rsidR="0051788B" w:rsidRPr="00E113AE">
        <w:rPr>
          <w:rFonts w:ascii="Arial" w:eastAsia="Times New Roman" w:hAnsi="Arial" w:cs="Arial"/>
          <w:sz w:val="19"/>
          <w:szCs w:val="19"/>
          <w:lang w:val="en-US" w:eastAsia="zh-CN"/>
        </w:rPr>
        <w:t>, facility-specific</w:t>
      </w:r>
      <w:r w:rsidRPr="00E113AE">
        <w:rPr>
          <w:rFonts w:ascii="Arial" w:eastAsia="Times New Roman" w:hAnsi="Arial" w:cs="Arial"/>
          <w:sz w:val="19"/>
          <w:szCs w:val="19"/>
          <w:lang w:val="en-US" w:eastAsia="zh-CN"/>
        </w:rPr>
        <w:t xml:space="preserve"> and other application- and environment-related data. In the event of changes to the underlying conditions, the contracting partner shall inform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without delay.</w:t>
      </w:r>
    </w:p>
    <w:p w14:paraId="5ECA8DF6" w14:textId="3FB13B3B"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Where required, the contracting partner shall grant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access to properties, business premises and other facilities and shall support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through suitable personnel in collecting the data and information necessary for the performance of the services.</w:t>
      </w:r>
    </w:p>
    <w:p w14:paraId="0806DC2D" w14:textId="0B9BDC05" w:rsidR="002D4CA8"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The application for and procurement of any required official or other approvals shall be the responsibility of the contracting partner.</w:t>
      </w:r>
    </w:p>
    <w:p w14:paraId="0A26862D" w14:textId="77777777" w:rsidR="00E113AE" w:rsidRPr="00E113AE" w:rsidRDefault="00E113AE" w:rsidP="00E113AE">
      <w:pPr>
        <w:pStyle w:val="Listenabsatz"/>
        <w:spacing w:after="0" w:line="320" w:lineRule="exact"/>
        <w:ind w:left="760"/>
        <w:rPr>
          <w:rFonts w:ascii="Arial" w:eastAsia="Times New Roman" w:hAnsi="Arial" w:cs="Arial"/>
          <w:sz w:val="19"/>
          <w:szCs w:val="19"/>
          <w:lang w:val="en-US" w:eastAsia="zh-CN"/>
        </w:rPr>
      </w:pPr>
    </w:p>
    <w:p w14:paraId="0A396EB0" w14:textId="7B877A8D"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Work Results and Rights of Use</w:t>
      </w:r>
    </w:p>
    <w:p w14:paraId="5857FC3A" w14:textId="7C335CE7"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Work results created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w:t>
      </w:r>
      <w:proofErr w:type="gramStart"/>
      <w:r w:rsidRPr="00E113AE">
        <w:rPr>
          <w:rFonts w:ascii="Arial" w:eastAsia="Times New Roman" w:hAnsi="Arial" w:cs="Arial"/>
          <w:sz w:val="19"/>
          <w:szCs w:val="19"/>
          <w:lang w:val="en-US" w:eastAsia="zh-CN"/>
        </w:rPr>
        <w:t>in particular concepts</w:t>
      </w:r>
      <w:proofErr w:type="gramEnd"/>
      <w:r w:rsidRPr="00E113AE">
        <w:rPr>
          <w:rFonts w:ascii="Arial" w:eastAsia="Times New Roman" w:hAnsi="Arial" w:cs="Arial"/>
          <w:sz w:val="19"/>
          <w:szCs w:val="19"/>
          <w:lang w:val="en-US" w:eastAsia="zh-CN"/>
        </w:rPr>
        <w:t xml:space="preserve">, plans, technical documents and documentation, analyses, simulations, graphical representations and animations, are protected by copyright, irrespective of the file format. Any publication in whole or in part, as well as repeated use by the contracting partner, shall only be permissible with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consent.</w:t>
      </w:r>
    </w:p>
    <w:p w14:paraId="42740FF1" w14:textId="5359571A"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Work results handed over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to the contracting partner may only be used by the contracting partner for the agreed type of use and within the contractually agreed scope.</w:t>
      </w:r>
    </w:p>
    <w:p w14:paraId="79946657" w14:textId="16923C51"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 transfer of work results by the contracting partner to third parties shall be permissible insofar as this serves the purpose of applying and implementing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’s services within the scope of the agreed type of use. Any further disclosure to third parties and any transfer of granted rights of use to third parties shall require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prior written consent.</w:t>
      </w:r>
    </w:p>
    <w:p w14:paraId="4D2716FC" w14:textId="2E8749A2"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Any rights of use beyond the foregoing shall remain exclusively with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Without prejudice to the contracting partner’s rights of use pursuant to Clause 5.2,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be entitled to use ideas, findings, methods, concepts, acquired know-how and the like developed </w:t>
      </w:r>
      <w:proofErr w:type="gramStart"/>
      <w:r w:rsidRPr="00E113AE">
        <w:rPr>
          <w:rFonts w:ascii="Arial" w:eastAsia="Times New Roman" w:hAnsi="Arial" w:cs="Arial"/>
          <w:sz w:val="19"/>
          <w:szCs w:val="19"/>
          <w:lang w:val="en-US" w:eastAsia="zh-CN"/>
        </w:rPr>
        <w:t>in the course of</w:t>
      </w:r>
      <w:proofErr w:type="gramEnd"/>
      <w:r w:rsidRPr="00E113AE">
        <w:rPr>
          <w:rFonts w:ascii="Arial" w:eastAsia="Times New Roman" w:hAnsi="Arial" w:cs="Arial"/>
          <w:sz w:val="19"/>
          <w:szCs w:val="19"/>
          <w:lang w:val="en-US" w:eastAsia="zh-CN"/>
        </w:rPr>
        <w:t xml:space="preserve"> providing the services for further developments and services, including for other customers.</w:t>
      </w:r>
    </w:p>
    <w:p w14:paraId="6FA9934B" w14:textId="3962BBDF" w:rsidR="002D4CA8" w:rsidRPr="002D4CA8" w:rsidRDefault="002D4CA8" w:rsidP="00E113AE">
      <w:pPr>
        <w:spacing w:after="0" w:line="320" w:lineRule="exact"/>
        <w:rPr>
          <w:rFonts w:ascii="Arial" w:eastAsia="Times New Roman" w:hAnsi="Arial" w:cs="Arial"/>
          <w:sz w:val="19"/>
          <w:szCs w:val="19"/>
          <w:lang w:val="en-US" w:eastAsia="zh-CN"/>
        </w:rPr>
      </w:pPr>
    </w:p>
    <w:p w14:paraId="5784849A" w14:textId="53AF5276"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Warranty</w:t>
      </w:r>
    </w:p>
    <w:p w14:paraId="11DFF86A" w14:textId="312FA1FB"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Work results and comparable verifiable services provided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be inspected by the contracting partner without delay. Obvious defects shall be reported by the contracting partner within two weeks of receipt of the service; non-obvious defects within two weeks of their discovery. Upon expiry of these periods,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services shall be deemed approved.</w:t>
      </w:r>
    </w:p>
    <w:p w14:paraId="5849C6A2" w14:textId="6C5B8049"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Services provided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are based on the circumstances existing at the time of performance. The results of route inspections are derived from the findings at the time of the measurement run and may subsequently be subject to change due to external influences (weather conditions, construction measures, etc.). Recommendations </w:t>
      </w:r>
      <w:r w:rsidR="000D5DE1" w:rsidRPr="00E113AE">
        <w:rPr>
          <w:rFonts w:ascii="Arial" w:eastAsia="Times New Roman" w:hAnsi="Arial" w:cs="Arial"/>
          <w:sz w:val="19"/>
          <w:szCs w:val="19"/>
          <w:lang w:val="en-US" w:eastAsia="zh-CN"/>
        </w:rPr>
        <w:t>derived</w:t>
      </w:r>
      <w:r w:rsidRPr="00E113AE">
        <w:rPr>
          <w:rFonts w:ascii="Arial" w:eastAsia="Times New Roman" w:hAnsi="Arial" w:cs="Arial"/>
          <w:sz w:val="19"/>
          <w:szCs w:val="19"/>
          <w:lang w:val="en-US" w:eastAsia="zh-CN"/>
        </w:rPr>
        <w:t xml:space="preserve"> from inspection results therefore apply only on the condition that route conditions remain unchanged. Subsequent changes in factual circumstances or legal frameworks shall be </w:t>
      </w:r>
      <w:proofErr w:type="gramStart"/>
      <w:r w:rsidRPr="00E113AE">
        <w:rPr>
          <w:rFonts w:ascii="Arial" w:eastAsia="Times New Roman" w:hAnsi="Arial" w:cs="Arial"/>
          <w:sz w:val="19"/>
          <w:szCs w:val="19"/>
          <w:lang w:val="en-US" w:eastAsia="zh-CN"/>
        </w:rPr>
        <w:t>taken into account</w:t>
      </w:r>
      <w:proofErr w:type="gramEnd"/>
      <w:r w:rsidRPr="00E113AE">
        <w:rPr>
          <w:rFonts w:ascii="Arial" w:eastAsia="Times New Roman" w:hAnsi="Arial" w:cs="Arial"/>
          <w:sz w:val="19"/>
          <w:szCs w:val="19"/>
          <w:lang w:val="en-US" w:eastAsia="zh-CN"/>
        </w:rPr>
        <w:t xml:space="preserve"> by the contracting partner at its own responsibility.</w:t>
      </w:r>
    </w:p>
    <w:p w14:paraId="215623AC" w14:textId="3ED9EB51"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Where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prepares swept path analyses as part of its services, this shall be carried out </w:t>
      </w:r>
      <w:proofErr w:type="gramStart"/>
      <w:r w:rsidRPr="00E113AE">
        <w:rPr>
          <w:rFonts w:ascii="Arial" w:eastAsia="Times New Roman" w:hAnsi="Arial" w:cs="Arial"/>
          <w:sz w:val="19"/>
          <w:szCs w:val="19"/>
          <w:lang w:val="en-US" w:eastAsia="zh-CN"/>
        </w:rPr>
        <w:t>on the basis of</w:t>
      </w:r>
      <w:proofErr w:type="gramEnd"/>
      <w:r w:rsidRPr="00E113AE">
        <w:rPr>
          <w:rFonts w:ascii="Arial" w:eastAsia="Times New Roman" w:hAnsi="Arial" w:cs="Arial"/>
          <w:sz w:val="19"/>
          <w:szCs w:val="19"/>
          <w:lang w:val="en-US" w:eastAsia="zh-CN"/>
        </w:rPr>
        <w:t xml:space="preserve"> model-based representations of the respective transport, whereby the positioning of </w:t>
      </w:r>
      <w:r w:rsidRPr="00E113AE">
        <w:rPr>
          <w:rFonts w:ascii="Arial" w:eastAsia="Times New Roman" w:hAnsi="Arial" w:cs="Arial"/>
          <w:sz w:val="19"/>
          <w:szCs w:val="19"/>
          <w:lang w:val="en-US" w:eastAsia="zh-CN"/>
        </w:rPr>
        <w:lastRenderedPageBreak/>
        <w:t xml:space="preserve">the load on the respective vehicle at the planned transport location is reproduced in the model </w:t>
      </w:r>
      <w:proofErr w:type="gramStart"/>
      <w:r w:rsidRPr="00E113AE">
        <w:rPr>
          <w:rFonts w:ascii="Arial" w:eastAsia="Times New Roman" w:hAnsi="Arial" w:cs="Arial"/>
          <w:sz w:val="19"/>
          <w:szCs w:val="19"/>
          <w:lang w:val="en-US" w:eastAsia="zh-CN"/>
        </w:rPr>
        <w:t>and,</w:t>
      </w:r>
      <w:proofErr w:type="gramEnd"/>
      <w:r w:rsidRPr="00E113AE">
        <w:rPr>
          <w:rFonts w:ascii="Arial" w:eastAsia="Times New Roman" w:hAnsi="Arial" w:cs="Arial"/>
          <w:sz w:val="19"/>
          <w:szCs w:val="19"/>
          <w:lang w:val="en-US" w:eastAsia="zh-CN"/>
        </w:rPr>
        <w:t xml:space="preserve"> based thereon, recommendations for traffic management measures are provided. As this is a technical approximation method whose results serve a theoretical assessment of feasibility, a wide range of real influencing factors—such as vehicle-specific characteristics, weight distribution, road conditions, weather influences and driver behavior—can only be </w:t>
      </w:r>
      <w:proofErr w:type="gramStart"/>
      <w:r w:rsidRPr="00E113AE">
        <w:rPr>
          <w:rFonts w:ascii="Arial" w:eastAsia="Times New Roman" w:hAnsi="Arial" w:cs="Arial"/>
          <w:sz w:val="19"/>
          <w:szCs w:val="19"/>
          <w:lang w:val="en-US" w:eastAsia="zh-CN"/>
        </w:rPr>
        <w:t>taken into account</w:t>
      </w:r>
      <w:proofErr w:type="gramEnd"/>
      <w:r w:rsidRPr="00E113AE">
        <w:rPr>
          <w:rFonts w:ascii="Arial" w:eastAsia="Times New Roman" w:hAnsi="Arial" w:cs="Arial"/>
          <w:sz w:val="19"/>
          <w:szCs w:val="19"/>
          <w:lang w:val="en-US" w:eastAsia="zh-CN"/>
        </w:rPr>
        <w:t xml:space="preserve"> to a limited extent. In the actual execution of the transport, it must therefore be ensured, </w:t>
      </w:r>
      <w:proofErr w:type="gramStart"/>
      <w:r w:rsidRPr="00E113AE">
        <w:rPr>
          <w:rFonts w:ascii="Arial" w:eastAsia="Times New Roman" w:hAnsi="Arial" w:cs="Arial"/>
          <w:sz w:val="19"/>
          <w:szCs w:val="19"/>
          <w:lang w:val="en-US" w:eastAsia="zh-CN"/>
        </w:rPr>
        <w:t>taking into account</w:t>
      </w:r>
      <w:proofErr w:type="gramEnd"/>
      <w:r w:rsidRPr="00E113AE">
        <w:rPr>
          <w:rFonts w:ascii="Arial" w:eastAsia="Times New Roman" w:hAnsi="Arial" w:cs="Arial"/>
          <w:sz w:val="19"/>
          <w:szCs w:val="19"/>
          <w:lang w:val="en-US" w:eastAsia="zh-CN"/>
        </w:rPr>
        <w:t xml:space="preserve"> traffic management measures, that sufficient safety distances to existing structural installations, traffic facilities and other obstacles along the planned route are maintained. Responsibility for the final assessment of actual </w:t>
      </w:r>
      <w:proofErr w:type="spellStart"/>
      <w:r w:rsidRPr="00E113AE">
        <w:rPr>
          <w:rFonts w:ascii="Arial" w:eastAsia="Times New Roman" w:hAnsi="Arial" w:cs="Arial"/>
          <w:sz w:val="19"/>
          <w:szCs w:val="19"/>
          <w:lang w:val="en-US" w:eastAsia="zh-CN"/>
        </w:rPr>
        <w:t>passability</w:t>
      </w:r>
      <w:proofErr w:type="spellEnd"/>
      <w:r w:rsidRPr="00E113AE">
        <w:rPr>
          <w:rFonts w:ascii="Arial" w:eastAsia="Times New Roman" w:hAnsi="Arial" w:cs="Arial"/>
          <w:sz w:val="19"/>
          <w:szCs w:val="19"/>
          <w:lang w:val="en-US" w:eastAsia="zh-CN"/>
        </w:rPr>
        <w:t xml:space="preserve"> and compliance with required safety distances rests with the executing company. Deviations between the modeled and actual transport situation shall be reviewed by the executing company and, where necessary, addressed by additional traffic management measures.</w:t>
      </w:r>
    </w:p>
    <w:p w14:paraId="00A349C4" w14:textId="7C5C85CC"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In all other respects, warranty rights shall be governed by the statutory provisions. The warranty period shall be 12 months, unless mandatory statutory provisions provide otherwise.</w:t>
      </w:r>
    </w:p>
    <w:p w14:paraId="1351943C" w14:textId="1BCE3115" w:rsidR="002D4CA8" w:rsidRPr="002D4CA8" w:rsidRDefault="002D4CA8" w:rsidP="00E113AE">
      <w:pPr>
        <w:spacing w:after="0" w:line="320" w:lineRule="exact"/>
        <w:rPr>
          <w:rFonts w:ascii="Arial" w:eastAsia="Times New Roman" w:hAnsi="Arial" w:cs="Arial"/>
          <w:sz w:val="19"/>
          <w:szCs w:val="19"/>
          <w:lang w:eastAsia="zh-CN"/>
        </w:rPr>
      </w:pPr>
    </w:p>
    <w:p w14:paraId="3BB085D5" w14:textId="23A3E7F2"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 xml:space="preserve">Liability of </w:t>
      </w:r>
      <w:r w:rsidRPr="00E113AE">
        <w:rPr>
          <w:rFonts w:ascii="Arial" w:eastAsia="Times New Roman" w:hAnsi="Arial" w:cs="Arial"/>
          <w:b/>
          <w:bCs/>
          <w:sz w:val="19"/>
          <w:szCs w:val="19"/>
          <w:lang w:val="en-US" w:eastAsia="zh-CN"/>
        </w:rPr>
        <w:t>Seeland</w:t>
      </w:r>
    </w:p>
    <w:p w14:paraId="6C82C222" w14:textId="77777777" w:rsidR="0083185E" w:rsidRDefault="002D4CA8" w:rsidP="0083185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In the event of a breach of duty,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not be liable</w:t>
      </w:r>
    </w:p>
    <w:p w14:paraId="6AA2E3FF" w14:textId="77777777" w:rsidR="0083185E" w:rsidRDefault="002D4CA8" w:rsidP="0083185E">
      <w:pPr>
        <w:pStyle w:val="Listenabsatz"/>
        <w:numPr>
          <w:ilvl w:val="0"/>
          <w:numId w:val="16"/>
        </w:numPr>
        <w:spacing w:after="0" w:line="320" w:lineRule="exact"/>
        <w:rPr>
          <w:rFonts w:ascii="Arial" w:eastAsia="Times New Roman" w:hAnsi="Arial" w:cs="Arial"/>
          <w:sz w:val="19"/>
          <w:szCs w:val="19"/>
          <w:lang w:val="en-US" w:eastAsia="zh-CN"/>
        </w:rPr>
      </w:pPr>
      <w:r w:rsidRPr="0083185E">
        <w:rPr>
          <w:rFonts w:ascii="Arial" w:eastAsia="Times New Roman" w:hAnsi="Arial" w:cs="Arial"/>
          <w:sz w:val="19"/>
          <w:szCs w:val="19"/>
          <w:lang w:val="en-US" w:eastAsia="zh-CN"/>
        </w:rPr>
        <w:t xml:space="preserve">for business interruptions, production downtime, loss of profit, loss of business or usage opportunities, personnel waiting times, or contractual penalties or liquidated damages payable by the contracting partner to third </w:t>
      </w:r>
      <w:proofErr w:type="gramStart"/>
      <w:r w:rsidRPr="0083185E">
        <w:rPr>
          <w:rFonts w:ascii="Arial" w:eastAsia="Times New Roman" w:hAnsi="Arial" w:cs="Arial"/>
          <w:sz w:val="19"/>
          <w:szCs w:val="19"/>
          <w:lang w:val="en-US" w:eastAsia="zh-CN"/>
        </w:rPr>
        <w:t>parties;</w:t>
      </w:r>
      <w:proofErr w:type="gramEnd"/>
    </w:p>
    <w:p w14:paraId="2A499CB5" w14:textId="77777777" w:rsidR="0083185E" w:rsidRDefault="002D4CA8" w:rsidP="0083185E">
      <w:pPr>
        <w:pStyle w:val="Listenabsatz"/>
        <w:numPr>
          <w:ilvl w:val="0"/>
          <w:numId w:val="16"/>
        </w:numPr>
        <w:spacing w:after="0" w:line="320" w:lineRule="exact"/>
        <w:rPr>
          <w:rFonts w:ascii="Arial" w:eastAsia="Times New Roman" w:hAnsi="Arial" w:cs="Arial"/>
          <w:sz w:val="19"/>
          <w:szCs w:val="19"/>
          <w:lang w:val="en-US" w:eastAsia="zh-CN"/>
        </w:rPr>
      </w:pPr>
      <w:r w:rsidRPr="0083185E">
        <w:rPr>
          <w:rFonts w:ascii="Arial" w:eastAsia="Times New Roman" w:hAnsi="Arial" w:cs="Arial"/>
          <w:sz w:val="19"/>
          <w:szCs w:val="19"/>
          <w:lang w:val="en-US" w:eastAsia="zh-CN"/>
        </w:rPr>
        <w:t xml:space="preserve">for indirect and/or consequential damages, i.e. damages not incurred to the object or asset to which </w:t>
      </w:r>
      <w:r w:rsidRPr="0083185E">
        <w:rPr>
          <w:rFonts w:ascii="Arial" w:eastAsia="Times New Roman" w:hAnsi="Arial" w:cs="Arial"/>
          <w:sz w:val="19"/>
          <w:szCs w:val="19"/>
          <w:lang w:val="en-US" w:eastAsia="zh-CN"/>
        </w:rPr>
        <w:t>Seeland</w:t>
      </w:r>
      <w:r w:rsidRPr="0083185E">
        <w:rPr>
          <w:rFonts w:ascii="Arial" w:eastAsia="Times New Roman" w:hAnsi="Arial" w:cs="Arial"/>
          <w:sz w:val="19"/>
          <w:szCs w:val="19"/>
          <w:lang w:val="en-US" w:eastAsia="zh-CN"/>
        </w:rPr>
        <w:t xml:space="preserve">’s services relate, or which do not arise directly from the breach of duty but only </w:t>
      </w:r>
      <w:proofErr w:type="gramStart"/>
      <w:r w:rsidRPr="0083185E">
        <w:rPr>
          <w:rFonts w:ascii="Arial" w:eastAsia="Times New Roman" w:hAnsi="Arial" w:cs="Arial"/>
          <w:sz w:val="19"/>
          <w:szCs w:val="19"/>
          <w:lang w:val="en-US" w:eastAsia="zh-CN"/>
        </w:rPr>
        <w:t>as a result of</w:t>
      </w:r>
      <w:proofErr w:type="gramEnd"/>
      <w:r w:rsidRPr="0083185E">
        <w:rPr>
          <w:rFonts w:ascii="Arial" w:eastAsia="Times New Roman" w:hAnsi="Arial" w:cs="Arial"/>
          <w:sz w:val="19"/>
          <w:szCs w:val="19"/>
          <w:lang w:val="en-US" w:eastAsia="zh-CN"/>
        </w:rPr>
        <w:t xml:space="preserve"> an additional intervening causal event, or which were not foreseeable for the contracting parties at the time of contract conclusion based on the typically expected course of </w:t>
      </w:r>
      <w:proofErr w:type="gramStart"/>
      <w:r w:rsidRPr="0083185E">
        <w:rPr>
          <w:rFonts w:ascii="Arial" w:eastAsia="Times New Roman" w:hAnsi="Arial" w:cs="Arial"/>
          <w:sz w:val="19"/>
          <w:szCs w:val="19"/>
          <w:lang w:val="en-US" w:eastAsia="zh-CN"/>
        </w:rPr>
        <w:t>events;</w:t>
      </w:r>
      <w:proofErr w:type="gramEnd"/>
    </w:p>
    <w:p w14:paraId="7E0B1F05" w14:textId="1015AAE4" w:rsidR="002D4CA8" w:rsidRPr="0083185E" w:rsidRDefault="002D4CA8" w:rsidP="0083185E">
      <w:pPr>
        <w:pStyle w:val="Listenabsatz"/>
        <w:numPr>
          <w:ilvl w:val="0"/>
          <w:numId w:val="16"/>
        </w:numPr>
        <w:spacing w:after="0" w:line="320" w:lineRule="exact"/>
        <w:rPr>
          <w:rFonts w:ascii="Arial" w:eastAsia="Times New Roman" w:hAnsi="Arial" w:cs="Arial"/>
          <w:sz w:val="19"/>
          <w:szCs w:val="19"/>
          <w:lang w:val="en-US" w:eastAsia="zh-CN"/>
        </w:rPr>
      </w:pPr>
      <w:r w:rsidRPr="0083185E">
        <w:rPr>
          <w:rFonts w:ascii="Arial" w:eastAsia="Times New Roman" w:hAnsi="Arial" w:cs="Arial"/>
          <w:sz w:val="19"/>
          <w:szCs w:val="19"/>
          <w:lang w:val="en-US" w:eastAsia="zh-CN"/>
        </w:rPr>
        <w:t>for other financial losses of the contracting partner.</w:t>
      </w:r>
    </w:p>
    <w:p w14:paraId="450B60EE" w14:textId="6796BFB2" w:rsidR="002D4CA8"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 above limitations and exclusions of liability shall not apply if the damage is attributable to intent or gross negligence on the part of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its employees acting within the scope of their duties, or persons engaged by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in the performance of its obligations. The same shall apply in the event of injury to life, body or health. The above limitations and exclusions of liability shall likewise not apply if the </w:t>
      </w:r>
      <w:proofErr w:type="gramStart"/>
      <w:r w:rsidRPr="00E113AE">
        <w:rPr>
          <w:rFonts w:ascii="Arial" w:eastAsia="Times New Roman" w:hAnsi="Arial" w:cs="Arial"/>
          <w:sz w:val="19"/>
          <w:szCs w:val="19"/>
          <w:lang w:val="en-US" w:eastAsia="zh-CN"/>
        </w:rPr>
        <w:t>aforementioned persons</w:t>
      </w:r>
      <w:proofErr w:type="gramEnd"/>
      <w:r w:rsidRPr="00E113AE">
        <w:rPr>
          <w:rFonts w:ascii="Arial" w:eastAsia="Times New Roman" w:hAnsi="Arial" w:cs="Arial"/>
          <w:sz w:val="19"/>
          <w:szCs w:val="19"/>
          <w:lang w:val="en-US" w:eastAsia="zh-CN"/>
        </w:rPr>
        <w:t xml:space="preserve"> have caused the damage by breaching material contractual obligations; in such case,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’s liability shall be limited to the foreseeable, typical damage at the time of contract conclusion, but shall not exceed EUR 100,000.00. Material contractual obligations are those obligations whose fulfillment is essential for the proper performance of the contract and on whose compliance the contracting partner may regularly rely.</w:t>
      </w:r>
    </w:p>
    <w:p w14:paraId="061E764D" w14:textId="77777777" w:rsidR="0083185E" w:rsidRPr="00E113AE" w:rsidRDefault="0083185E" w:rsidP="0083185E">
      <w:pPr>
        <w:pStyle w:val="Listenabsatz"/>
        <w:spacing w:after="0" w:line="320" w:lineRule="exact"/>
        <w:ind w:left="760"/>
        <w:rPr>
          <w:rFonts w:ascii="Arial" w:eastAsia="Times New Roman" w:hAnsi="Arial" w:cs="Arial"/>
          <w:sz w:val="19"/>
          <w:szCs w:val="19"/>
          <w:lang w:val="en-US" w:eastAsia="zh-CN"/>
        </w:rPr>
      </w:pPr>
    </w:p>
    <w:p w14:paraId="60926F76" w14:textId="7592ECA0" w:rsidR="002D4CA8" w:rsidRPr="00E113AE" w:rsidRDefault="002D4CA8" w:rsidP="00E113AE">
      <w:pPr>
        <w:pStyle w:val="Listenabsatz"/>
        <w:numPr>
          <w:ilvl w:val="0"/>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b/>
          <w:bCs/>
          <w:sz w:val="19"/>
          <w:szCs w:val="19"/>
          <w:lang w:val="en-US" w:eastAsia="zh-CN"/>
        </w:rPr>
        <w:t>Governing Law, Place of Jurisdiction</w:t>
      </w:r>
    </w:p>
    <w:p w14:paraId="6CCAFC5F" w14:textId="22233C5A"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The legal relationship between the parties shall be governed by German law, to the exclusion of all international and supranational (contractual) legal systems.</w:t>
      </w:r>
    </w:p>
    <w:p w14:paraId="4240C80A" w14:textId="1D11E68B" w:rsidR="002D4CA8" w:rsidRPr="00E113AE" w:rsidRDefault="002D4CA8" w:rsidP="00E113AE">
      <w:pPr>
        <w:pStyle w:val="Listenabsatz"/>
        <w:numPr>
          <w:ilvl w:val="1"/>
          <w:numId w:val="15"/>
        </w:numPr>
        <w:spacing w:after="0" w:line="320" w:lineRule="exact"/>
        <w:rPr>
          <w:rFonts w:ascii="Arial" w:eastAsia="Times New Roman" w:hAnsi="Arial" w:cs="Arial"/>
          <w:sz w:val="19"/>
          <w:szCs w:val="19"/>
          <w:lang w:val="en-US" w:eastAsia="zh-CN"/>
        </w:rPr>
      </w:pPr>
      <w:r w:rsidRPr="00E113AE">
        <w:rPr>
          <w:rFonts w:ascii="Arial" w:eastAsia="Times New Roman" w:hAnsi="Arial" w:cs="Arial"/>
          <w:sz w:val="19"/>
          <w:szCs w:val="19"/>
          <w:lang w:val="en-US" w:eastAsia="zh-CN"/>
        </w:rPr>
        <w:t xml:space="preserve">The exclusive place of jurisdiction—also for international disputes—for all disputes arising directly or indirectly from the contractual relationship shall be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’s registered office in Hamburg. </w:t>
      </w:r>
      <w:r w:rsidRPr="00E113AE">
        <w:rPr>
          <w:rFonts w:ascii="Arial" w:eastAsia="Times New Roman" w:hAnsi="Arial" w:cs="Arial"/>
          <w:sz w:val="19"/>
          <w:szCs w:val="19"/>
          <w:lang w:val="en-US" w:eastAsia="zh-CN"/>
        </w:rPr>
        <w:t>Seeland</w:t>
      </w:r>
      <w:r w:rsidRPr="00E113AE">
        <w:rPr>
          <w:rFonts w:ascii="Arial" w:eastAsia="Times New Roman" w:hAnsi="Arial" w:cs="Arial"/>
          <w:sz w:val="19"/>
          <w:szCs w:val="19"/>
          <w:lang w:val="en-US" w:eastAsia="zh-CN"/>
        </w:rPr>
        <w:t xml:space="preserve"> shall, however, also be entitled to bring legal action at the general place of jurisdiction of the contracting partner.</w:t>
      </w:r>
    </w:p>
    <w:p w14:paraId="50A0C8D2" w14:textId="0C676E7A" w:rsidR="00FB332D" w:rsidRPr="00E113AE" w:rsidRDefault="00FB332D" w:rsidP="00E113AE">
      <w:pPr>
        <w:pStyle w:val="berschrift2"/>
        <w:numPr>
          <w:ilvl w:val="0"/>
          <w:numId w:val="0"/>
        </w:numPr>
        <w:ind w:left="567" w:right="1701" w:hanging="567"/>
        <w:jc w:val="both"/>
        <w:rPr>
          <w:rFonts w:cs="Arial"/>
          <w:szCs w:val="19"/>
          <w:lang w:val="en-US"/>
        </w:rPr>
      </w:pPr>
    </w:p>
    <w:sectPr w:rsidR="00FB332D" w:rsidRPr="00E113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73"/>
    <w:multiLevelType w:val="multilevel"/>
    <w:tmpl w:val="9D66DF2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356990"/>
    <w:multiLevelType w:val="multilevel"/>
    <w:tmpl w:val="0866A2F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20153B"/>
    <w:multiLevelType w:val="hybridMultilevel"/>
    <w:tmpl w:val="6B3C5F42"/>
    <w:lvl w:ilvl="0" w:tplc="C02AB03C">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F75FBF"/>
    <w:multiLevelType w:val="multilevel"/>
    <w:tmpl w:val="BF62AEC2"/>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E74C66"/>
    <w:multiLevelType w:val="hybridMultilevel"/>
    <w:tmpl w:val="39E8E9D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0FB050B"/>
    <w:multiLevelType w:val="multilevel"/>
    <w:tmpl w:val="64EC3CF0"/>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82968E2"/>
    <w:multiLevelType w:val="multilevel"/>
    <w:tmpl w:val="E3C49886"/>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0A06AC"/>
    <w:multiLevelType w:val="hybridMultilevel"/>
    <w:tmpl w:val="22D48FAE"/>
    <w:lvl w:ilvl="0" w:tplc="E26A82C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1707F24"/>
    <w:multiLevelType w:val="multilevel"/>
    <w:tmpl w:val="AAB45C70"/>
    <w:lvl w:ilvl="0">
      <w:start w:val="1"/>
      <w:numFmt w:val="decimal"/>
      <w:pStyle w:val="berschrift1"/>
      <w:lvlText w:val="%1."/>
      <w:lvlJc w:val="left"/>
      <w:pPr>
        <w:ind w:left="567" w:hanging="567"/>
      </w:pPr>
      <w:rPr>
        <w:rFonts w:ascii="Arial" w:hAnsi="Arial" w:hint="default"/>
        <w:b/>
        <w:i w:val="0"/>
        <w:color w:val="262626" w:themeColor="text1" w:themeTint="D9"/>
        <w:sz w:val="19"/>
      </w:rPr>
    </w:lvl>
    <w:lvl w:ilvl="1">
      <w:start w:val="1"/>
      <w:numFmt w:val="decimal"/>
      <w:pStyle w:val="berschrift2"/>
      <w:lvlText w:val="%1.%2"/>
      <w:lvlJc w:val="left"/>
      <w:pPr>
        <w:ind w:left="567" w:hanging="567"/>
      </w:pPr>
      <w:rPr>
        <w:rFonts w:ascii="Arial" w:hAnsi="Arial" w:hint="default"/>
        <w:b w:val="0"/>
        <w:i w:val="0"/>
        <w:color w:val="262626" w:themeColor="text1" w:themeTint="D9"/>
        <w:sz w:val="19"/>
      </w:rPr>
    </w:lvl>
    <w:lvl w:ilvl="2">
      <w:start w:val="1"/>
      <w:numFmt w:val="lowerLetter"/>
      <w:pStyle w:val="berschrift3"/>
      <w:lvlText w:val="%3)"/>
      <w:lvlJc w:val="left"/>
      <w:pPr>
        <w:ind w:left="567" w:hanging="567"/>
      </w:pPr>
      <w:rPr>
        <w:rFonts w:ascii="Arial" w:eastAsiaTheme="majorEastAsia" w:hAnsi="Arial" w:cstheme="majorBidi"/>
        <w:b w:val="0"/>
        <w:i w:val="0"/>
        <w:color w:val="262626" w:themeColor="text1" w:themeTint="D9"/>
        <w:sz w:val="1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EA376C"/>
    <w:multiLevelType w:val="hybridMultilevel"/>
    <w:tmpl w:val="B07C1856"/>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2042575"/>
    <w:multiLevelType w:val="multilevel"/>
    <w:tmpl w:val="5D34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37C48"/>
    <w:multiLevelType w:val="hybridMultilevel"/>
    <w:tmpl w:val="4836B4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DB58BD"/>
    <w:multiLevelType w:val="hybridMultilevel"/>
    <w:tmpl w:val="4C805C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96B762A"/>
    <w:multiLevelType w:val="multilevel"/>
    <w:tmpl w:val="0C603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6E0CA0"/>
    <w:multiLevelType w:val="hybridMultilevel"/>
    <w:tmpl w:val="09C887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7980270">
    <w:abstractNumId w:val="3"/>
  </w:num>
  <w:num w:numId="2" w16cid:durableId="731730737">
    <w:abstractNumId w:val="4"/>
  </w:num>
  <w:num w:numId="3" w16cid:durableId="1082725316">
    <w:abstractNumId w:val="9"/>
  </w:num>
  <w:num w:numId="4" w16cid:durableId="242181842">
    <w:abstractNumId w:val="11"/>
  </w:num>
  <w:num w:numId="5" w16cid:durableId="1000737083">
    <w:abstractNumId w:val="14"/>
  </w:num>
  <w:num w:numId="6" w16cid:durableId="706219508">
    <w:abstractNumId w:val="2"/>
  </w:num>
  <w:num w:numId="7" w16cid:durableId="1781489507">
    <w:abstractNumId w:val="10"/>
  </w:num>
  <w:num w:numId="8" w16cid:durableId="1727334753">
    <w:abstractNumId w:val="6"/>
  </w:num>
  <w:num w:numId="9" w16cid:durableId="348945341">
    <w:abstractNumId w:val="1"/>
  </w:num>
  <w:num w:numId="10" w16cid:durableId="132795062">
    <w:abstractNumId w:val="0"/>
  </w:num>
  <w:num w:numId="11" w16cid:durableId="158155483">
    <w:abstractNumId w:val="13"/>
  </w:num>
  <w:num w:numId="12" w16cid:durableId="886257211">
    <w:abstractNumId w:val="8"/>
  </w:num>
  <w:num w:numId="13" w16cid:durableId="381171330">
    <w:abstractNumId w:val="8"/>
    <w:lvlOverride w:ilvl="0">
      <w:startOverride w:val="1"/>
    </w:lvlOverride>
    <w:lvlOverride w:ilvl="1">
      <w:startOverride w:val="2"/>
    </w:lvlOverride>
  </w:num>
  <w:num w:numId="14" w16cid:durableId="2122139671">
    <w:abstractNumId w:val="12"/>
  </w:num>
  <w:num w:numId="15" w16cid:durableId="2012482357">
    <w:abstractNumId w:val="5"/>
  </w:num>
  <w:num w:numId="16" w16cid:durableId="1651908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204/23"/>
    <w:docVar w:name="Bemerkung" w:val="AGB Engineering.THALES.rev.20250724"/>
    <w:docVar w:name="DDNr" w:val="D2/D346-25"/>
    <w:docVar w:name="DDNummerPH" w:val="fehlt"/>
    <w:docVar w:name="EAStatus" w:val="0"/>
    <w:docVar w:name="RADKS" w:val="#m;$a;@M1"/>
    <w:docVar w:name="Rubrik" w:val="TE_x0009_Texte"/>
    <w:docVar w:name="Schlagwort" w:val="Ergänzung"/>
  </w:docVars>
  <w:rsids>
    <w:rsidRoot w:val="00FB332D"/>
    <w:rsid w:val="0002399E"/>
    <w:rsid w:val="000418D6"/>
    <w:rsid w:val="00071725"/>
    <w:rsid w:val="00087FC9"/>
    <w:rsid w:val="00095CB0"/>
    <w:rsid w:val="000A518D"/>
    <w:rsid w:val="000B178B"/>
    <w:rsid w:val="000C1865"/>
    <w:rsid w:val="000C441E"/>
    <w:rsid w:val="000D5DE1"/>
    <w:rsid w:val="001959F4"/>
    <w:rsid w:val="001D14EA"/>
    <w:rsid w:val="0020262E"/>
    <w:rsid w:val="00291847"/>
    <w:rsid w:val="002D4CA8"/>
    <w:rsid w:val="0031165E"/>
    <w:rsid w:val="00325C6A"/>
    <w:rsid w:val="003E4164"/>
    <w:rsid w:val="00440B5B"/>
    <w:rsid w:val="004D22B7"/>
    <w:rsid w:val="004F4849"/>
    <w:rsid w:val="0051788B"/>
    <w:rsid w:val="00520C30"/>
    <w:rsid w:val="00676E0C"/>
    <w:rsid w:val="006A4930"/>
    <w:rsid w:val="007166D3"/>
    <w:rsid w:val="007D10CA"/>
    <w:rsid w:val="007E2FA8"/>
    <w:rsid w:val="007F1C74"/>
    <w:rsid w:val="00816416"/>
    <w:rsid w:val="0083185E"/>
    <w:rsid w:val="0083781E"/>
    <w:rsid w:val="008562C4"/>
    <w:rsid w:val="008976C4"/>
    <w:rsid w:val="00972E4E"/>
    <w:rsid w:val="00975D3A"/>
    <w:rsid w:val="00993859"/>
    <w:rsid w:val="009C3D5A"/>
    <w:rsid w:val="009E5B53"/>
    <w:rsid w:val="00A35ED0"/>
    <w:rsid w:val="00AA7C22"/>
    <w:rsid w:val="00AE1808"/>
    <w:rsid w:val="00AF772E"/>
    <w:rsid w:val="00B767EC"/>
    <w:rsid w:val="00B81896"/>
    <w:rsid w:val="00B96E97"/>
    <w:rsid w:val="00BA4DE5"/>
    <w:rsid w:val="00BB1988"/>
    <w:rsid w:val="00BC12B8"/>
    <w:rsid w:val="00C64EF0"/>
    <w:rsid w:val="00CD1B18"/>
    <w:rsid w:val="00D016C7"/>
    <w:rsid w:val="00D24784"/>
    <w:rsid w:val="00D36C68"/>
    <w:rsid w:val="00D64879"/>
    <w:rsid w:val="00DC5D1C"/>
    <w:rsid w:val="00E113AE"/>
    <w:rsid w:val="00E12F90"/>
    <w:rsid w:val="00EF55C4"/>
    <w:rsid w:val="00F129C1"/>
    <w:rsid w:val="00F24D10"/>
    <w:rsid w:val="00F55C7B"/>
    <w:rsid w:val="00F644E1"/>
    <w:rsid w:val="00FB332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94D"/>
  <w15:chartTrackingRefBased/>
  <w15:docId w15:val="{94935BDA-47C3-4E55-9E93-CB5BAEF9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6C68"/>
    <w:pPr>
      <w:widowControl w:val="0"/>
      <w:numPr>
        <w:numId w:val="12"/>
      </w:numPr>
      <w:spacing w:after="0" w:line="320" w:lineRule="exact"/>
      <w:outlineLvl w:val="0"/>
    </w:pPr>
    <w:rPr>
      <w:rFonts w:ascii="Arial" w:eastAsiaTheme="majorEastAsia" w:hAnsi="Arial" w:cstheme="majorBidi"/>
      <w:b/>
      <w:color w:val="262626" w:themeColor="text1" w:themeTint="D9"/>
      <w:sz w:val="19"/>
      <w:szCs w:val="32"/>
    </w:rPr>
  </w:style>
  <w:style w:type="paragraph" w:styleId="berschrift2">
    <w:name w:val="heading 2"/>
    <w:basedOn w:val="Standard"/>
    <w:next w:val="Standard"/>
    <w:link w:val="berschrift2Zchn"/>
    <w:uiPriority w:val="9"/>
    <w:qFormat/>
    <w:rsid w:val="00D36C68"/>
    <w:pPr>
      <w:widowControl w:val="0"/>
      <w:numPr>
        <w:ilvl w:val="1"/>
        <w:numId w:val="12"/>
      </w:numPr>
      <w:spacing w:after="0" w:line="320" w:lineRule="exact"/>
      <w:outlineLvl w:val="1"/>
    </w:pPr>
    <w:rPr>
      <w:rFonts w:ascii="Arial" w:eastAsiaTheme="majorEastAsia" w:hAnsi="Arial" w:cstheme="majorBidi"/>
      <w:color w:val="262626" w:themeColor="text1" w:themeTint="D9"/>
      <w:sz w:val="19"/>
      <w:szCs w:val="26"/>
    </w:rPr>
  </w:style>
  <w:style w:type="paragraph" w:styleId="berschrift3">
    <w:name w:val="heading 3"/>
    <w:basedOn w:val="Standard"/>
    <w:next w:val="Standard"/>
    <w:link w:val="berschrift3Zchn"/>
    <w:uiPriority w:val="9"/>
    <w:qFormat/>
    <w:rsid w:val="00D36C68"/>
    <w:pPr>
      <w:widowControl w:val="0"/>
      <w:numPr>
        <w:ilvl w:val="2"/>
        <w:numId w:val="12"/>
      </w:numPr>
      <w:spacing w:after="0" w:line="320" w:lineRule="exact"/>
      <w:ind w:left="1134"/>
      <w:outlineLvl w:val="2"/>
    </w:pPr>
    <w:rPr>
      <w:rFonts w:ascii="Arial" w:eastAsiaTheme="majorEastAsia" w:hAnsi="Arial" w:cstheme="majorBidi"/>
      <w:color w:val="262626" w:themeColor="text1" w:themeTint="D9"/>
      <w:sz w:val="19"/>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332D"/>
    <w:pPr>
      <w:ind w:left="720"/>
      <w:contextualSpacing/>
    </w:pPr>
  </w:style>
  <w:style w:type="paragraph" w:styleId="Sprechblasentext">
    <w:name w:val="Balloon Text"/>
    <w:basedOn w:val="Standard"/>
    <w:link w:val="SprechblasentextZchn"/>
    <w:uiPriority w:val="99"/>
    <w:semiHidden/>
    <w:unhideWhenUsed/>
    <w:rsid w:val="00FB33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332D"/>
    <w:rPr>
      <w:rFonts w:ascii="Segoe UI" w:hAnsi="Segoe UI" w:cs="Segoe UI"/>
      <w:sz w:val="18"/>
      <w:szCs w:val="18"/>
    </w:rPr>
  </w:style>
  <w:style w:type="character" w:customStyle="1" w:styleId="berschrift1Zchn">
    <w:name w:val="Überschrift 1 Zchn"/>
    <w:basedOn w:val="Absatz-Standardschriftart"/>
    <w:link w:val="berschrift1"/>
    <w:uiPriority w:val="9"/>
    <w:rsid w:val="00D36C68"/>
    <w:rPr>
      <w:rFonts w:ascii="Arial" w:eastAsiaTheme="majorEastAsia" w:hAnsi="Arial" w:cstheme="majorBidi"/>
      <w:b/>
      <w:color w:val="262626" w:themeColor="text1" w:themeTint="D9"/>
      <w:sz w:val="19"/>
      <w:szCs w:val="32"/>
    </w:rPr>
  </w:style>
  <w:style w:type="character" w:customStyle="1" w:styleId="berschrift2Zchn">
    <w:name w:val="Überschrift 2 Zchn"/>
    <w:basedOn w:val="Absatz-Standardschriftart"/>
    <w:link w:val="berschrift2"/>
    <w:uiPriority w:val="9"/>
    <w:rsid w:val="00D36C68"/>
    <w:rPr>
      <w:rFonts w:ascii="Arial" w:eastAsiaTheme="majorEastAsia" w:hAnsi="Arial" w:cstheme="majorBidi"/>
      <w:color w:val="262626" w:themeColor="text1" w:themeTint="D9"/>
      <w:sz w:val="19"/>
      <w:szCs w:val="26"/>
    </w:rPr>
  </w:style>
  <w:style w:type="character" w:customStyle="1" w:styleId="berschrift3Zchn">
    <w:name w:val="Überschrift 3 Zchn"/>
    <w:basedOn w:val="Absatz-Standardschriftart"/>
    <w:link w:val="berschrift3"/>
    <w:uiPriority w:val="9"/>
    <w:rsid w:val="00D36C68"/>
    <w:rPr>
      <w:rFonts w:ascii="Arial" w:eastAsiaTheme="majorEastAsia" w:hAnsi="Arial" w:cstheme="majorBidi"/>
      <w:color w:val="262626" w:themeColor="text1" w:themeTint="D9"/>
      <w:sz w:val="19"/>
      <w:szCs w:val="24"/>
    </w:rPr>
  </w:style>
  <w:style w:type="paragraph" w:styleId="StandardWeb">
    <w:name w:val="Normal (Web)"/>
    <w:basedOn w:val="Standard"/>
    <w:uiPriority w:val="99"/>
    <w:semiHidden/>
    <w:unhideWhenUsed/>
    <w:rsid w:val="002D4CA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ett">
    <w:name w:val="Strong"/>
    <w:basedOn w:val="Absatz-Standardschriftart"/>
    <w:uiPriority w:val="22"/>
    <w:qFormat/>
    <w:rsid w:val="002D4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5229">
      <w:bodyDiv w:val="1"/>
      <w:marLeft w:val="0"/>
      <w:marRight w:val="0"/>
      <w:marTop w:val="0"/>
      <w:marBottom w:val="0"/>
      <w:divBdr>
        <w:top w:val="none" w:sz="0" w:space="0" w:color="auto"/>
        <w:left w:val="none" w:sz="0" w:space="0" w:color="auto"/>
        <w:bottom w:val="none" w:sz="0" w:space="0" w:color="auto"/>
        <w:right w:val="none" w:sz="0" w:space="0" w:color="auto"/>
      </w:divBdr>
      <w:divsChild>
        <w:div w:id="892351875">
          <w:marLeft w:val="0"/>
          <w:marRight w:val="0"/>
          <w:marTop w:val="0"/>
          <w:marBottom w:val="0"/>
          <w:divBdr>
            <w:top w:val="none" w:sz="0" w:space="0" w:color="auto"/>
            <w:left w:val="none" w:sz="0" w:space="0" w:color="auto"/>
            <w:bottom w:val="none" w:sz="0" w:space="0" w:color="auto"/>
            <w:right w:val="none" w:sz="0" w:space="0" w:color="auto"/>
          </w:divBdr>
          <w:divsChild>
            <w:div w:id="600916528">
              <w:marLeft w:val="0"/>
              <w:marRight w:val="0"/>
              <w:marTop w:val="0"/>
              <w:marBottom w:val="0"/>
              <w:divBdr>
                <w:top w:val="none" w:sz="0" w:space="0" w:color="auto"/>
                <w:left w:val="none" w:sz="0" w:space="0" w:color="auto"/>
                <w:bottom w:val="none" w:sz="0" w:space="0" w:color="auto"/>
                <w:right w:val="none" w:sz="0" w:space="0" w:color="auto"/>
              </w:divBdr>
              <w:divsChild>
                <w:div w:id="6059421">
                  <w:marLeft w:val="0"/>
                  <w:marRight w:val="0"/>
                  <w:marTop w:val="0"/>
                  <w:marBottom w:val="0"/>
                  <w:divBdr>
                    <w:top w:val="none" w:sz="0" w:space="0" w:color="auto"/>
                    <w:left w:val="none" w:sz="0" w:space="0" w:color="auto"/>
                    <w:bottom w:val="none" w:sz="0" w:space="0" w:color="auto"/>
                    <w:right w:val="none" w:sz="0" w:space="0" w:color="auto"/>
                  </w:divBdr>
                  <w:divsChild>
                    <w:div w:id="9042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2337">
      <w:bodyDiv w:val="1"/>
      <w:marLeft w:val="0"/>
      <w:marRight w:val="0"/>
      <w:marTop w:val="0"/>
      <w:marBottom w:val="0"/>
      <w:divBdr>
        <w:top w:val="none" w:sz="0" w:space="0" w:color="auto"/>
        <w:left w:val="none" w:sz="0" w:space="0" w:color="auto"/>
        <w:bottom w:val="none" w:sz="0" w:space="0" w:color="auto"/>
        <w:right w:val="none" w:sz="0" w:space="0" w:color="auto"/>
      </w:divBdr>
      <w:divsChild>
        <w:div w:id="475924354">
          <w:marLeft w:val="0"/>
          <w:marRight w:val="0"/>
          <w:marTop w:val="0"/>
          <w:marBottom w:val="0"/>
          <w:divBdr>
            <w:top w:val="none" w:sz="0" w:space="0" w:color="auto"/>
            <w:left w:val="none" w:sz="0" w:space="0" w:color="auto"/>
            <w:bottom w:val="none" w:sz="0" w:space="0" w:color="auto"/>
            <w:right w:val="none" w:sz="0" w:space="0" w:color="auto"/>
          </w:divBdr>
          <w:divsChild>
            <w:div w:id="579757337">
              <w:marLeft w:val="0"/>
              <w:marRight w:val="0"/>
              <w:marTop w:val="0"/>
              <w:marBottom w:val="0"/>
              <w:divBdr>
                <w:top w:val="none" w:sz="0" w:space="0" w:color="auto"/>
                <w:left w:val="none" w:sz="0" w:space="0" w:color="auto"/>
                <w:bottom w:val="none" w:sz="0" w:space="0" w:color="auto"/>
                <w:right w:val="none" w:sz="0" w:space="0" w:color="auto"/>
              </w:divBdr>
              <w:divsChild>
                <w:div w:id="2135832167">
                  <w:marLeft w:val="0"/>
                  <w:marRight w:val="0"/>
                  <w:marTop w:val="0"/>
                  <w:marBottom w:val="0"/>
                  <w:divBdr>
                    <w:top w:val="none" w:sz="0" w:space="0" w:color="auto"/>
                    <w:left w:val="none" w:sz="0" w:space="0" w:color="auto"/>
                    <w:bottom w:val="none" w:sz="0" w:space="0" w:color="auto"/>
                    <w:right w:val="none" w:sz="0" w:space="0" w:color="auto"/>
                  </w:divBdr>
                  <w:divsChild>
                    <w:div w:id="20716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74597">
      <w:bodyDiv w:val="1"/>
      <w:marLeft w:val="0"/>
      <w:marRight w:val="0"/>
      <w:marTop w:val="0"/>
      <w:marBottom w:val="0"/>
      <w:divBdr>
        <w:top w:val="none" w:sz="0" w:space="0" w:color="auto"/>
        <w:left w:val="none" w:sz="0" w:space="0" w:color="auto"/>
        <w:bottom w:val="none" w:sz="0" w:space="0" w:color="auto"/>
        <w:right w:val="none" w:sz="0" w:space="0" w:color="auto"/>
      </w:divBdr>
    </w:div>
    <w:div w:id="702445124">
      <w:bodyDiv w:val="1"/>
      <w:marLeft w:val="0"/>
      <w:marRight w:val="0"/>
      <w:marTop w:val="0"/>
      <w:marBottom w:val="0"/>
      <w:divBdr>
        <w:top w:val="none" w:sz="0" w:space="0" w:color="auto"/>
        <w:left w:val="none" w:sz="0" w:space="0" w:color="auto"/>
        <w:bottom w:val="none" w:sz="0" w:space="0" w:color="auto"/>
        <w:right w:val="none" w:sz="0" w:space="0" w:color="auto"/>
      </w:divBdr>
    </w:div>
    <w:div w:id="716975643">
      <w:bodyDiv w:val="1"/>
      <w:marLeft w:val="0"/>
      <w:marRight w:val="0"/>
      <w:marTop w:val="0"/>
      <w:marBottom w:val="0"/>
      <w:divBdr>
        <w:top w:val="none" w:sz="0" w:space="0" w:color="auto"/>
        <w:left w:val="none" w:sz="0" w:space="0" w:color="auto"/>
        <w:bottom w:val="none" w:sz="0" w:space="0" w:color="auto"/>
        <w:right w:val="none" w:sz="0" w:space="0" w:color="auto"/>
      </w:divBdr>
      <w:divsChild>
        <w:div w:id="475881556">
          <w:marLeft w:val="0"/>
          <w:marRight w:val="0"/>
          <w:marTop w:val="0"/>
          <w:marBottom w:val="0"/>
          <w:divBdr>
            <w:top w:val="none" w:sz="0" w:space="0" w:color="auto"/>
            <w:left w:val="none" w:sz="0" w:space="0" w:color="auto"/>
            <w:bottom w:val="none" w:sz="0" w:space="0" w:color="auto"/>
            <w:right w:val="none" w:sz="0" w:space="0" w:color="auto"/>
          </w:divBdr>
          <w:divsChild>
            <w:div w:id="1324509969">
              <w:marLeft w:val="0"/>
              <w:marRight w:val="0"/>
              <w:marTop w:val="0"/>
              <w:marBottom w:val="0"/>
              <w:divBdr>
                <w:top w:val="none" w:sz="0" w:space="0" w:color="auto"/>
                <w:left w:val="none" w:sz="0" w:space="0" w:color="auto"/>
                <w:bottom w:val="none" w:sz="0" w:space="0" w:color="auto"/>
                <w:right w:val="none" w:sz="0" w:space="0" w:color="auto"/>
              </w:divBdr>
              <w:divsChild>
                <w:div w:id="126358908">
                  <w:marLeft w:val="0"/>
                  <w:marRight w:val="0"/>
                  <w:marTop w:val="0"/>
                  <w:marBottom w:val="0"/>
                  <w:divBdr>
                    <w:top w:val="none" w:sz="0" w:space="0" w:color="auto"/>
                    <w:left w:val="none" w:sz="0" w:space="0" w:color="auto"/>
                    <w:bottom w:val="none" w:sz="0" w:space="0" w:color="auto"/>
                    <w:right w:val="none" w:sz="0" w:space="0" w:color="auto"/>
                  </w:divBdr>
                  <w:divsChild>
                    <w:div w:id="8259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3277">
      <w:bodyDiv w:val="1"/>
      <w:marLeft w:val="0"/>
      <w:marRight w:val="0"/>
      <w:marTop w:val="0"/>
      <w:marBottom w:val="0"/>
      <w:divBdr>
        <w:top w:val="none" w:sz="0" w:space="0" w:color="auto"/>
        <w:left w:val="none" w:sz="0" w:space="0" w:color="auto"/>
        <w:bottom w:val="none" w:sz="0" w:space="0" w:color="auto"/>
        <w:right w:val="none" w:sz="0" w:space="0" w:color="auto"/>
      </w:divBdr>
    </w:div>
    <w:div w:id="951668399">
      <w:bodyDiv w:val="1"/>
      <w:marLeft w:val="0"/>
      <w:marRight w:val="0"/>
      <w:marTop w:val="0"/>
      <w:marBottom w:val="0"/>
      <w:divBdr>
        <w:top w:val="none" w:sz="0" w:space="0" w:color="auto"/>
        <w:left w:val="none" w:sz="0" w:space="0" w:color="auto"/>
        <w:bottom w:val="none" w:sz="0" w:space="0" w:color="auto"/>
        <w:right w:val="none" w:sz="0" w:space="0" w:color="auto"/>
      </w:divBdr>
    </w:div>
    <w:div w:id="1145513990">
      <w:bodyDiv w:val="1"/>
      <w:marLeft w:val="0"/>
      <w:marRight w:val="0"/>
      <w:marTop w:val="0"/>
      <w:marBottom w:val="0"/>
      <w:divBdr>
        <w:top w:val="none" w:sz="0" w:space="0" w:color="auto"/>
        <w:left w:val="none" w:sz="0" w:space="0" w:color="auto"/>
        <w:bottom w:val="none" w:sz="0" w:space="0" w:color="auto"/>
        <w:right w:val="none" w:sz="0" w:space="0" w:color="auto"/>
      </w:divBdr>
    </w:div>
    <w:div w:id="1667398977">
      <w:bodyDiv w:val="1"/>
      <w:marLeft w:val="0"/>
      <w:marRight w:val="0"/>
      <w:marTop w:val="0"/>
      <w:marBottom w:val="0"/>
      <w:divBdr>
        <w:top w:val="none" w:sz="0" w:space="0" w:color="auto"/>
        <w:left w:val="none" w:sz="0" w:space="0" w:color="auto"/>
        <w:bottom w:val="none" w:sz="0" w:space="0" w:color="auto"/>
        <w:right w:val="none" w:sz="0" w:space="0" w:color="auto"/>
      </w:divBdr>
      <w:divsChild>
        <w:div w:id="251552644">
          <w:marLeft w:val="0"/>
          <w:marRight w:val="0"/>
          <w:marTop w:val="0"/>
          <w:marBottom w:val="0"/>
          <w:divBdr>
            <w:top w:val="none" w:sz="0" w:space="0" w:color="auto"/>
            <w:left w:val="none" w:sz="0" w:space="0" w:color="auto"/>
            <w:bottom w:val="none" w:sz="0" w:space="0" w:color="auto"/>
            <w:right w:val="none" w:sz="0" w:space="0" w:color="auto"/>
          </w:divBdr>
          <w:divsChild>
            <w:div w:id="505828965">
              <w:marLeft w:val="0"/>
              <w:marRight w:val="0"/>
              <w:marTop w:val="0"/>
              <w:marBottom w:val="0"/>
              <w:divBdr>
                <w:top w:val="none" w:sz="0" w:space="0" w:color="auto"/>
                <w:left w:val="none" w:sz="0" w:space="0" w:color="auto"/>
                <w:bottom w:val="none" w:sz="0" w:space="0" w:color="auto"/>
                <w:right w:val="none" w:sz="0" w:space="0" w:color="auto"/>
              </w:divBdr>
              <w:divsChild>
                <w:div w:id="16934466">
                  <w:marLeft w:val="0"/>
                  <w:marRight w:val="0"/>
                  <w:marTop w:val="0"/>
                  <w:marBottom w:val="0"/>
                  <w:divBdr>
                    <w:top w:val="none" w:sz="0" w:space="0" w:color="auto"/>
                    <w:left w:val="none" w:sz="0" w:space="0" w:color="auto"/>
                    <w:bottom w:val="none" w:sz="0" w:space="0" w:color="auto"/>
                    <w:right w:val="none" w:sz="0" w:space="0" w:color="auto"/>
                  </w:divBdr>
                  <w:divsChild>
                    <w:div w:id="1663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8544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Schueler</dc:creator>
  <cp:keywords/>
  <dc:description/>
  <cp:lastModifiedBy>Marie Tilders</cp:lastModifiedBy>
  <cp:revision>6</cp:revision>
  <cp:lastPrinted>2020-04-30T12:20:00Z</cp:lastPrinted>
  <dcterms:created xsi:type="dcterms:W3CDTF">2025-07-24T19:18:00Z</dcterms:created>
  <dcterms:modified xsi:type="dcterms:W3CDTF">2026-01-28T05:32:00Z</dcterms:modified>
</cp:coreProperties>
</file>